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8"/>
          <w:szCs w:val="48"/>
        </w:rPr>
        <w:t>宿州市委党校2017年部门决算及“三公”经费公开说明</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2018年9月</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Pr="0018347A" w:rsidRDefault="0018347A" w:rsidP="0018347A">
      <w:pPr>
        <w:widowControl/>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t> </w:t>
      </w:r>
    </w:p>
    <w:p w:rsidR="0018347A" w:rsidRDefault="0018347A" w:rsidP="0018347A">
      <w:pPr>
        <w:widowControl/>
        <w:spacing w:line="520" w:lineRule="atLeast"/>
        <w:jc w:val="center"/>
        <w:rPr>
          <w:rFonts w:ascii="宋体" w:eastAsia="宋体" w:hAnsi="宋体" w:cs="宋体" w:hint="eastAsia"/>
          <w:b/>
          <w:bCs/>
          <w:color w:val="333333"/>
          <w:kern w:val="0"/>
          <w:sz w:val="44"/>
          <w:szCs w:val="44"/>
        </w:rPr>
      </w:pPr>
    </w:p>
    <w:p w:rsidR="0018347A" w:rsidRDefault="0018347A" w:rsidP="0018347A">
      <w:pPr>
        <w:widowControl/>
        <w:spacing w:line="520" w:lineRule="atLeast"/>
        <w:jc w:val="center"/>
        <w:rPr>
          <w:rFonts w:ascii="宋体" w:eastAsia="宋体" w:hAnsi="宋体" w:cs="宋体" w:hint="eastAsia"/>
          <w:b/>
          <w:bCs/>
          <w:color w:val="333333"/>
          <w:kern w:val="0"/>
          <w:sz w:val="44"/>
          <w:szCs w:val="44"/>
        </w:rPr>
      </w:pPr>
    </w:p>
    <w:p w:rsidR="0018347A" w:rsidRPr="0018347A" w:rsidRDefault="0018347A" w:rsidP="0018347A">
      <w:pPr>
        <w:widowControl/>
        <w:spacing w:line="520" w:lineRule="atLeast"/>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44"/>
          <w:szCs w:val="44"/>
        </w:rPr>
        <w:lastRenderedPageBreak/>
        <w:t>目 录</w:t>
      </w:r>
    </w:p>
    <w:p w:rsidR="0018347A" w:rsidRPr="0018347A" w:rsidRDefault="0018347A" w:rsidP="0018347A">
      <w:pPr>
        <w:widowControl/>
        <w:spacing w:line="520" w:lineRule="atLeast"/>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36"/>
          <w:szCs w:val="36"/>
        </w:rPr>
        <w:t> </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宿州市委党校2017年部门决算</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第一部分 宿州市委党校概况</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一、部门职责</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二、机构设置</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第二部分 宿州市委党校2017年度部门决算情况说明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一、收入支出决算总体情况说明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二、收入决算情况说明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三、支出决算情况说明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四、财政拨款收入支出决算总体情况说明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五、一般公共预算财政拨款收入支出决算情况说明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六、一般公共预算财政拨款基本支出决算情况说明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七、政府性基金财政拨款收入支出决算情况说明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八、其他重要事项的情况说明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第三部分 名词解释</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宿州市委党校2017年一般公共预算财政拨款“三公”经费支出决算情况说明</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附表：宿州市委党校</w:t>
      </w:r>
      <w:r w:rsidRPr="0018347A">
        <w:rPr>
          <w:rFonts w:ascii="Times New Roman" w:eastAsia="微软雅黑" w:hAnsi="Times New Roman" w:cs="Times New Roman"/>
          <w:b/>
          <w:bCs/>
          <w:color w:val="333333"/>
          <w:kern w:val="0"/>
          <w:sz w:val="32"/>
          <w:szCs w:val="32"/>
        </w:rPr>
        <w:t>2017</w:t>
      </w:r>
      <w:r w:rsidRPr="0018347A">
        <w:rPr>
          <w:rFonts w:ascii="仿宋" w:eastAsia="仿宋" w:hAnsi="仿宋" w:cs="宋体" w:hint="eastAsia"/>
          <w:b/>
          <w:bCs/>
          <w:color w:val="333333"/>
          <w:kern w:val="0"/>
          <w:sz w:val="32"/>
          <w:szCs w:val="32"/>
        </w:rPr>
        <w:t>年部门决算表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一、收入支出决算总表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二、收入决算表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三、支出决算表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四、财政拨款收入支出决算总表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五、一般公共预算财政拨款收入支出决算表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六、一般公共预算财政拨款基本支出决算表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七、政府性基金预算财政拨款收入支出决算表</w:t>
      </w:r>
    </w:p>
    <w:p w:rsidR="0018347A" w:rsidRPr="0018347A" w:rsidRDefault="0018347A" w:rsidP="0018347A">
      <w:pPr>
        <w:widowControl/>
        <w:spacing w:line="480" w:lineRule="atLeas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八、一般公共预算财政拨款“三公”经费决算情况表</w:t>
      </w:r>
    </w:p>
    <w:p w:rsidR="0018347A" w:rsidRPr="0018347A" w:rsidRDefault="0018347A" w:rsidP="0018347A">
      <w:pPr>
        <w:widowControl/>
        <w:spacing w:line="600" w:lineRule="atLeast"/>
        <w:jc w:val="center"/>
        <w:rPr>
          <w:rFonts w:ascii="Calibri" w:eastAsia="微软雅黑" w:hAnsi="Calibri" w:cs="宋体"/>
          <w:color w:val="333333"/>
          <w:kern w:val="0"/>
          <w:szCs w:val="21"/>
        </w:rPr>
      </w:pPr>
      <w:r w:rsidRPr="0018347A">
        <w:rPr>
          <w:rFonts w:ascii="仿宋" w:eastAsia="仿宋" w:hAnsi="仿宋" w:cs="宋体" w:hint="eastAsia"/>
          <w:b/>
          <w:bCs/>
          <w:color w:val="333333"/>
          <w:kern w:val="0"/>
          <w:sz w:val="36"/>
          <w:szCs w:val="36"/>
        </w:rPr>
        <w:t>宿州市委党校</w:t>
      </w:r>
      <w:r w:rsidRPr="0018347A">
        <w:rPr>
          <w:rFonts w:ascii="宋体" w:eastAsia="宋体" w:hAnsi="宋体" w:cs="宋体" w:hint="eastAsia"/>
          <w:b/>
          <w:bCs/>
          <w:color w:val="333333"/>
          <w:kern w:val="0"/>
          <w:sz w:val="36"/>
          <w:szCs w:val="36"/>
        </w:rPr>
        <w:t>201</w:t>
      </w:r>
      <w:r w:rsidRPr="0018347A">
        <w:rPr>
          <w:rFonts w:ascii="仿宋" w:eastAsia="仿宋" w:hAnsi="仿宋" w:cs="宋体" w:hint="eastAsia"/>
          <w:b/>
          <w:bCs/>
          <w:color w:val="333333"/>
          <w:kern w:val="0"/>
          <w:sz w:val="36"/>
          <w:szCs w:val="36"/>
        </w:rPr>
        <w:t>7年部门决算情况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t> </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第一部分 宿州市委党校概况</w:t>
      </w:r>
    </w:p>
    <w:p w:rsidR="0018347A" w:rsidRPr="0018347A" w:rsidRDefault="0018347A" w:rsidP="0018347A">
      <w:pPr>
        <w:widowControl/>
        <w:spacing w:line="600" w:lineRule="atLeast"/>
        <w:ind w:firstLine="640"/>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一、部门职责</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根据宿办秘〔2010〕120号文件规定，设置中共宿州市委党校，同时挂宿州市行政学院、宿州市社会主义学院的牌子。本部门主要职责是：</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1．根据中央、省委、市委对干部队伍建设的要求，有计划地轮训和培训县处级、科级党政领导干部、中青年干部、党员高级知识分子、理论宣传骨干。</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2．围绕市委、市政府中心工作，以提高公务员素质和能力为核心，以公仆意识、现代管理、依法行政为重点，做好全市公务员的培训工作。</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3．以学习中国特色社会主义理论和党的统一战线理论为中心，以提高自身政治素质和参政、议政能力为重点，做好全市民主党派干部和无党派代表人士及党的统战干部的培训。</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4．运用马克思主义、毛泽东思想、邓小平理论和“三个代表”重要思想，深入贯彻落实科学发展观，围绕党的中心任务和市委、市政府的中心工作，对重大现实问题开展专题研究，为教学和社会实践服务。</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5．配合组织人事部门，做好学员在校学习期间的管理和考核工作；并根据干部的政治理论素质和工作能力提出使用建议。</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6.指导县区党校工作。</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7.完成市委和省委党校交办的其他工作。</w:t>
      </w:r>
    </w:p>
    <w:p w:rsidR="0018347A" w:rsidRPr="0018347A" w:rsidRDefault="0018347A" w:rsidP="0018347A">
      <w:pPr>
        <w:widowControl/>
        <w:spacing w:line="600" w:lineRule="atLeast"/>
        <w:ind w:firstLine="640"/>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二、机构设置</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从决算单位构成看，宿州市委党校2017年度部门决算包括：部门本级决算和所属事业单位决算，与预算比较</w:t>
      </w:r>
      <w:r w:rsidRPr="0018347A">
        <w:rPr>
          <w:rFonts w:ascii="楷体" w:eastAsia="楷体" w:hAnsi="楷体" w:cs="宋体" w:hint="eastAsia"/>
          <w:color w:val="333333"/>
          <w:kern w:val="0"/>
          <w:sz w:val="32"/>
          <w:szCs w:val="32"/>
        </w:rPr>
        <w:t>，</w:t>
      </w:r>
      <w:r w:rsidRPr="0018347A">
        <w:rPr>
          <w:rFonts w:ascii="仿宋" w:eastAsia="仿宋" w:hAnsi="仿宋" w:cs="宋体" w:hint="eastAsia"/>
          <w:color w:val="333333"/>
          <w:kern w:val="0"/>
          <w:sz w:val="32"/>
          <w:szCs w:val="32"/>
        </w:rPr>
        <w:t>无变化。</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纳入宿州市委党校2017年度部门决算编制范围的二级单位共1个，详细情况见下表：</w:t>
      </w:r>
    </w:p>
    <w:tbl>
      <w:tblPr>
        <w:tblW w:w="4820" w:type="dxa"/>
        <w:tblInd w:w="720" w:type="dxa"/>
        <w:tblCellMar>
          <w:left w:w="0" w:type="dxa"/>
          <w:right w:w="0" w:type="dxa"/>
        </w:tblCellMar>
        <w:tblLook w:val="04A0"/>
      </w:tblPr>
      <w:tblGrid>
        <w:gridCol w:w="984"/>
        <w:gridCol w:w="3836"/>
      </w:tblGrid>
      <w:tr w:rsidR="0018347A" w:rsidRPr="0018347A" w:rsidTr="0018347A">
        <w:tc>
          <w:tcPr>
            <w:tcW w:w="1389" w:type="dxa"/>
            <w:tcBorders>
              <w:top w:val="single" w:sz="8" w:space="0" w:color="auto"/>
              <w:left w:val="single" w:sz="8" w:space="0" w:color="auto"/>
              <w:bottom w:val="single" w:sz="8" w:space="0" w:color="auto"/>
              <w:right w:val="single" w:sz="8" w:space="0" w:color="auto"/>
            </w:tcBorders>
            <w:hideMark/>
          </w:tcPr>
          <w:p w:rsidR="0018347A" w:rsidRPr="0018347A" w:rsidRDefault="0018347A" w:rsidP="0018347A">
            <w:pPr>
              <w:widowControl/>
              <w:spacing w:line="60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24"/>
                <w:szCs w:val="24"/>
              </w:rPr>
              <w:t>序号</w:t>
            </w:r>
          </w:p>
        </w:tc>
        <w:tc>
          <w:tcPr>
            <w:tcW w:w="5837" w:type="dxa"/>
            <w:tcBorders>
              <w:top w:val="single" w:sz="8" w:space="0" w:color="auto"/>
              <w:left w:val="nil"/>
              <w:bottom w:val="single" w:sz="8" w:space="0" w:color="auto"/>
              <w:right w:val="single" w:sz="8" w:space="0" w:color="auto"/>
            </w:tcBorders>
            <w:hideMark/>
          </w:tcPr>
          <w:p w:rsidR="0018347A" w:rsidRPr="0018347A" w:rsidRDefault="0018347A" w:rsidP="0018347A">
            <w:pPr>
              <w:widowControl/>
              <w:spacing w:line="60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24"/>
                <w:szCs w:val="24"/>
              </w:rPr>
              <w:t>单位名称</w:t>
            </w:r>
          </w:p>
        </w:tc>
      </w:tr>
      <w:tr w:rsidR="0018347A" w:rsidRPr="0018347A" w:rsidTr="0018347A">
        <w:tc>
          <w:tcPr>
            <w:tcW w:w="138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60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24"/>
                <w:szCs w:val="24"/>
              </w:rPr>
              <w:t>1</w:t>
            </w:r>
          </w:p>
        </w:tc>
        <w:tc>
          <w:tcPr>
            <w:tcW w:w="5837" w:type="dxa"/>
            <w:tcBorders>
              <w:top w:val="nil"/>
              <w:left w:val="nil"/>
              <w:bottom w:val="single" w:sz="8" w:space="0" w:color="auto"/>
              <w:right w:val="single" w:sz="8" w:space="0" w:color="auto"/>
            </w:tcBorders>
            <w:hideMark/>
          </w:tcPr>
          <w:p w:rsidR="0018347A" w:rsidRPr="0018347A" w:rsidRDefault="0018347A" w:rsidP="0018347A">
            <w:pPr>
              <w:widowControl/>
              <w:spacing w:line="60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24"/>
                <w:szCs w:val="24"/>
              </w:rPr>
              <w:t>宿州市委党校本级</w:t>
            </w:r>
          </w:p>
        </w:tc>
      </w:tr>
    </w:tbl>
    <w:p w:rsidR="0018347A" w:rsidRPr="0018347A" w:rsidRDefault="0018347A" w:rsidP="0018347A">
      <w:pPr>
        <w:widowControl/>
        <w:spacing w:line="600" w:lineRule="atLeast"/>
        <w:jc w:val="center"/>
        <w:rPr>
          <w:rFonts w:ascii="Calibri" w:eastAsia="微软雅黑" w:hAnsi="Calibri" w:cs="宋体"/>
          <w:color w:val="333333"/>
          <w:kern w:val="0"/>
          <w:szCs w:val="21"/>
        </w:rPr>
      </w:pPr>
      <w:r w:rsidRPr="0018347A">
        <w:rPr>
          <w:rFonts w:ascii="宋体" w:eastAsia="宋体" w:hAnsi="宋体" w:cs="宋体" w:hint="eastAsia"/>
          <w:color w:val="333333"/>
          <w:kern w:val="0"/>
          <w:sz w:val="14"/>
          <w:szCs w:val="14"/>
        </w:rPr>
        <w:t> </w:t>
      </w:r>
    </w:p>
    <w:p w:rsidR="0018347A" w:rsidRPr="0018347A" w:rsidRDefault="0018347A" w:rsidP="0018347A">
      <w:pPr>
        <w:widowControl/>
        <w:spacing w:line="600" w:lineRule="atLeast"/>
        <w:jc w:val="center"/>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第二部分 宿州市委党校2017年度部门决算情况说明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一、收入支出决算总体情况说明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2017年度收、支总计9,058.03万元。与2016年相比，收、支总计各增加2,483.67万元，增长37.78%，主要原因：</w:t>
      </w:r>
      <w:r w:rsidRPr="0018347A">
        <w:rPr>
          <w:rFonts w:ascii="仿宋" w:eastAsia="仿宋" w:hAnsi="仿宋" w:cs="宋体" w:hint="eastAsia"/>
          <w:color w:val="333333"/>
          <w:kern w:val="0"/>
          <w:sz w:val="32"/>
          <w:szCs w:val="32"/>
        </w:rPr>
        <w:lastRenderedPageBreak/>
        <w:t>一是支付新校区建设一期工程款；二是调整教职工和离退休人员工资。</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二、收入决算情况说明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本年收入合计7,866.8万元，其中：财政拨款收入7,473.87万元，占95.01%；事业收入390.98万元，占4.97%；其他收入1.95万元，占0.02%。</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三、支出决算情况说明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本年支出合计6,908.83万元，其中：基本支出2,310.5万元，占33.44%；项目支出4,598.33万元，占66.56%。</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四、财政拨款收入支出决算总体情况说明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2017年度财政拨款收、支总计8,665.09万元。与2016年相比，财政拨款收、支总计各增加2,352.22万元，增长137.26%，主要原因：一是支付新校区建设一期工程款；二是调整教职工和离退休人员工资。</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五、一般公共预算财政拨款收入支出决算情况说明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（一）</w:t>
      </w:r>
      <w:r w:rsidRPr="0018347A">
        <w:rPr>
          <w:rFonts w:ascii="黑体" w:eastAsia="黑体" w:hAnsi="黑体" w:cs="宋体" w:hint="eastAsia"/>
          <w:color w:val="333333"/>
          <w:kern w:val="0"/>
          <w:sz w:val="32"/>
          <w:szCs w:val="32"/>
        </w:rPr>
        <w:t xml:space="preserve"> </w:t>
      </w:r>
      <w:r w:rsidRPr="0018347A">
        <w:rPr>
          <w:rFonts w:ascii="仿宋" w:eastAsia="仿宋" w:hAnsi="仿宋" w:cs="宋体" w:hint="eastAsia"/>
          <w:b/>
          <w:bCs/>
          <w:color w:val="333333"/>
          <w:kern w:val="0"/>
          <w:sz w:val="32"/>
          <w:szCs w:val="32"/>
        </w:rPr>
        <w:t>一般公共预算财政拨款收入决算总体情况。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一般公共预算财政拨款收入7,473.87万元，占本年收入的95.01%。与2016年相比，一般公共预算财政拨款收入增加1,860.45万元，增长33.14%。主要原因:一是支付新校区建设一期工程款；二是调整教职工和离退休人员工资。</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（二）一般公共预算财政拨款支出决算总体情况。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2017年度一般公共预算财政拨款支出6,517.85万元，占本年支出的94.34%。与2016年相比，一般公共预算财政拨款支出增加1,396.2万元，增长27.26%。主要原因:一是支付新校区建设一期工程款；二是调整教职工和离退休人员工资。</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（三）一般公共预算财政拨款支出决算结构情况。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2017年一般公共预算财政拨款支出6,517.85万元，主要用于以下方面：</w:t>
      </w:r>
      <w:r w:rsidRPr="0018347A">
        <w:rPr>
          <w:rFonts w:ascii="仿宋" w:eastAsia="仿宋" w:hAnsi="仿宋" w:cs="宋体" w:hint="eastAsia"/>
          <w:b/>
          <w:bCs/>
          <w:color w:val="333333"/>
          <w:kern w:val="0"/>
          <w:sz w:val="32"/>
          <w:szCs w:val="32"/>
        </w:rPr>
        <w:t>一般公共服务（类）</w:t>
      </w:r>
      <w:r w:rsidRPr="0018347A">
        <w:rPr>
          <w:rFonts w:ascii="仿宋" w:eastAsia="仿宋" w:hAnsi="仿宋" w:cs="宋体" w:hint="eastAsia"/>
          <w:color w:val="333333"/>
          <w:kern w:val="0"/>
          <w:sz w:val="32"/>
          <w:szCs w:val="32"/>
        </w:rPr>
        <w:t>支出114.95万元，占1.76%;</w:t>
      </w:r>
      <w:r w:rsidRPr="0018347A">
        <w:rPr>
          <w:rFonts w:ascii="仿宋" w:eastAsia="仿宋" w:hAnsi="仿宋" w:cs="宋体" w:hint="eastAsia"/>
          <w:b/>
          <w:bCs/>
          <w:color w:val="333333"/>
          <w:kern w:val="0"/>
          <w:sz w:val="32"/>
          <w:szCs w:val="32"/>
        </w:rPr>
        <w:t>教育（类）</w:t>
      </w:r>
      <w:r w:rsidRPr="0018347A">
        <w:rPr>
          <w:rFonts w:ascii="仿宋" w:eastAsia="仿宋" w:hAnsi="仿宋" w:cs="宋体" w:hint="eastAsia"/>
          <w:color w:val="333333"/>
          <w:kern w:val="0"/>
          <w:sz w:val="32"/>
          <w:szCs w:val="32"/>
        </w:rPr>
        <w:t>支出6,135.53万元，占94.13%；</w:t>
      </w:r>
      <w:r w:rsidRPr="0018347A">
        <w:rPr>
          <w:rFonts w:ascii="仿宋" w:eastAsia="仿宋" w:hAnsi="仿宋" w:cs="宋体" w:hint="eastAsia"/>
          <w:b/>
          <w:bCs/>
          <w:color w:val="333333"/>
          <w:kern w:val="0"/>
          <w:sz w:val="32"/>
          <w:szCs w:val="32"/>
        </w:rPr>
        <w:t>社会保障和就业（类）</w:t>
      </w:r>
      <w:r w:rsidRPr="0018347A">
        <w:rPr>
          <w:rFonts w:ascii="仿宋" w:eastAsia="仿宋" w:hAnsi="仿宋" w:cs="宋体" w:hint="eastAsia"/>
          <w:color w:val="333333"/>
          <w:kern w:val="0"/>
          <w:sz w:val="32"/>
          <w:szCs w:val="32"/>
        </w:rPr>
        <w:t>支出32.32万元，占0.5%；</w:t>
      </w:r>
      <w:r w:rsidRPr="0018347A">
        <w:rPr>
          <w:rFonts w:ascii="仿宋" w:eastAsia="仿宋" w:hAnsi="仿宋" w:cs="宋体" w:hint="eastAsia"/>
          <w:b/>
          <w:bCs/>
          <w:color w:val="333333"/>
          <w:kern w:val="0"/>
          <w:sz w:val="32"/>
          <w:szCs w:val="32"/>
        </w:rPr>
        <w:t>医疗卫生与计划生育（类）</w:t>
      </w:r>
      <w:r w:rsidRPr="0018347A">
        <w:rPr>
          <w:rFonts w:ascii="仿宋" w:eastAsia="仿宋" w:hAnsi="仿宋" w:cs="宋体" w:hint="eastAsia"/>
          <w:color w:val="333333"/>
          <w:kern w:val="0"/>
          <w:sz w:val="32"/>
          <w:szCs w:val="32"/>
        </w:rPr>
        <w:t>支出167.55万元,占2.57%；</w:t>
      </w:r>
      <w:r w:rsidRPr="0018347A">
        <w:rPr>
          <w:rFonts w:ascii="仿宋" w:eastAsia="仿宋" w:hAnsi="仿宋" w:cs="宋体" w:hint="eastAsia"/>
          <w:b/>
          <w:bCs/>
          <w:color w:val="333333"/>
          <w:kern w:val="0"/>
          <w:sz w:val="32"/>
          <w:szCs w:val="32"/>
        </w:rPr>
        <w:t>住房保障（类）</w:t>
      </w:r>
      <w:r w:rsidRPr="0018347A">
        <w:rPr>
          <w:rFonts w:ascii="仿宋" w:eastAsia="仿宋" w:hAnsi="仿宋" w:cs="宋体" w:hint="eastAsia"/>
          <w:color w:val="333333"/>
          <w:kern w:val="0"/>
          <w:sz w:val="32"/>
          <w:szCs w:val="32"/>
        </w:rPr>
        <w:t>支出67.49万元，占1.04%。</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（四）</w:t>
      </w:r>
      <w:r w:rsidRPr="0018347A">
        <w:rPr>
          <w:rFonts w:ascii="黑体" w:eastAsia="黑体" w:hAnsi="黑体" w:cs="宋体" w:hint="eastAsia"/>
          <w:color w:val="333333"/>
          <w:kern w:val="0"/>
          <w:sz w:val="32"/>
          <w:szCs w:val="32"/>
        </w:rPr>
        <w:t xml:space="preserve"> </w:t>
      </w:r>
      <w:r w:rsidRPr="0018347A">
        <w:rPr>
          <w:rFonts w:ascii="仿宋" w:eastAsia="仿宋" w:hAnsi="仿宋" w:cs="宋体" w:hint="eastAsia"/>
          <w:b/>
          <w:bCs/>
          <w:color w:val="333333"/>
          <w:kern w:val="0"/>
          <w:sz w:val="32"/>
          <w:szCs w:val="32"/>
        </w:rPr>
        <w:t>一般公共预算财政拨款支出决算具体情况。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2017年度一般公共预算财政拨款支出年初预算为1,655.21万元，支出决算为6,517.85万元，完成年初预算的393.78%。决算数大于预算数的主要原因: 一是新校区建设资金并入决算数；二是补发教职工和离退休人员工资。其中:基本支出1,919.52万元，占29.45%；项目支出4,598.33万元，占70.55%。具体情况如下：</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1．</w:t>
      </w:r>
      <w:r w:rsidRPr="0018347A">
        <w:rPr>
          <w:rFonts w:ascii="仿宋" w:eastAsia="仿宋" w:hAnsi="仿宋" w:cs="宋体" w:hint="eastAsia"/>
          <w:b/>
          <w:bCs/>
          <w:color w:val="333333"/>
          <w:kern w:val="0"/>
          <w:sz w:val="32"/>
          <w:szCs w:val="32"/>
        </w:rPr>
        <w:t>一般公共服务支出（类）政府办公厅（室）及相关机构事务（款）其他政府办公厅（室）及相关机构事务支出（项）</w:t>
      </w:r>
      <w:r w:rsidRPr="0018347A">
        <w:rPr>
          <w:rFonts w:ascii="仿宋" w:eastAsia="仿宋" w:hAnsi="仿宋" w:cs="宋体" w:hint="eastAsia"/>
          <w:color w:val="333333"/>
          <w:kern w:val="0"/>
          <w:sz w:val="32"/>
          <w:szCs w:val="32"/>
        </w:rPr>
        <w:t>。年初预算为0万元，支出决算为114。95万元，决</w:t>
      </w:r>
      <w:r w:rsidRPr="0018347A">
        <w:rPr>
          <w:rFonts w:ascii="仿宋" w:eastAsia="仿宋" w:hAnsi="仿宋" w:cs="宋体" w:hint="eastAsia"/>
          <w:color w:val="333333"/>
          <w:kern w:val="0"/>
          <w:sz w:val="32"/>
          <w:szCs w:val="32"/>
        </w:rPr>
        <w:lastRenderedPageBreak/>
        <w:t>算数大于预算数114.95万元，主要原因是年初预算时没有预料到本项业务开支。</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w:t>
      </w:r>
      <w:r w:rsidRPr="0018347A">
        <w:rPr>
          <w:rFonts w:ascii="仿宋" w:eastAsia="仿宋" w:hAnsi="仿宋" w:cs="宋体" w:hint="eastAsia"/>
          <w:b/>
          <w:bCs/>
          <w:color w:val="333333"/>
          <w:kern w:val="0"/>
          <w:sz w:val="32"/>
          <w:szCs w:val="32"/>
        </w:rPr>
        <w:t>教育支出（类）进修及培训（款）干部教育（项）</w:t>
      </w:r>
      <w:r w:rsidRPr="0018347A">
        <w:rPr>
          <w:rFonts w:ascii="仿宋" w:eastAsia="仿宋" w:hAnsi="仿宋" w:cs="宋体" w:hint="eastAsia"/>
          <w:color w:val="333333"/>
          <w:kern w:val="0"/>
          <w:sz w:val="32"/>
          <w:szCs w:val="32"/>
        </w:rPr>
        <w:t>。年初预算为1358.55万元，支出决算为6090.53万元，完成年初预算的448.31%，决算数大于预算数的主要原因是新校区建设一期工程款纳入决算。</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3.</w:t>
      </w:r>
      <w:r w:rsidRPr="0018347A">
        <w:rPr>
          <w:rFonts w:ascii="Calibri" w:eastAsia="微软雅黑" w:hAnsi="Calibri" w:cs="宋体"/>
          <w:color w:val="333333"/>
          <w:kern w:val="0"/>
          <w:szCs w:val="21"/>
        </w:rPr>
        <w:t xml:space="preserve"> </w:t>
      </w:r>
      <w:r w:rsidRPr="0018347A">
        <w:rPr>
          <w:rFonts w:ascii="仿宋" w:eastAsia="仿宋" w:hAnsi="仿宋" w:cs="宋体" w:hint="eastAsia"/>
          <w:b/>
          <w:bCs/>
          <w:color w:val="333333"/>
          <w:kern w:val="0"/>
          <w:sz w:val="32"/>
          <w:szCs w:val="32"/>
        </w:rPr>
        <w:t>教育支出（类）教育费附加安排的支出（款）其他教育费附加安排的支出（项）</w:t>
      </w:r>
      <w:r w:rsidRPr="0018347A">
        <w:rPr>
          <w:rFonts w:ascii="仿宋" w:eastAsia="仿宋" w:hAnsi="仿宋" w:cs="宋体" w:hint="eastAsia"/>
          <w:color w:val="333333"/>
          <w:kern w:val="0"/>
          <w:sz w:val="32"/>
          <w:szCs w:val="32"/>
        </w:rPr>
        <w:t>，年初预算为45万元，支出决算为45万元，决算数与预算数一致。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4.</w:t>
      </w:r>
      <w:r w:rsidRPr="0018347A">
        <w:rPr>
          <w:rFonts w:ascii="Calibri" w:eastAsia="微软雅黑" w:hAnsi="Calibri" w:cs="宋体"/>
          <w:color w:val="333333"/>
          <w:kern w:val="0"/>
          <w:szCs w:val="21"/>
        </w:rPr>
        <w:t xml:space="preserve"> </w:t>
      </w:r>
      <w:r w:rsidRPr="0018347A">
        <w:rPr>
          <w:rFonts w:ascii="仿宋" w:eastAsia="仿宋" w:hAnsi="仿宋" w:cs="宋体" w:hint="eastAsia"/>
          <w:b/>
          <w:bCs/>
          <w:color w:val="333333"/>
          <w:kern w:val="0"/>
          <w:sz w:val="32"/>
          <w:szCs w:val="32"/>
        </w:rPr>
        <w:t>社会保障和就业支出（类）抚恤（款）死亡抚恤（项）</w:t>
      </w:r>
      <w:r w:rsidRPr="0018347A">
        <w:rPr>
          <w:rFonts w:ascii="仿宋" w:eastAsia="仿宋" w:hAnsi="仿宋" w:cs="宋体" w:hint="eastAsia"/>
          <w:color w:val="333333"/>
          <w:kern w:val="0"/>
          <w:sz w:val="32"/>
          <w:szCs w:val="32"/>
        </w:rPr>
        <w:t>。年初预算为0万元，支出决算为27.67万元，决算数大于预算数的主要原因是年初预算没有预料到本项业务支出。</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5.</w:t>
      </w:r>
      <w:r w:rsidRPr="0018347A">
        <w:rPr>
          <w:rFonts w:ascii="Calibri" w:eastAsia="微软雅黑" w:hAnsi="Calibri" w:cs="宋体"/>
          <w:color w:val="333333"/>
          <w:kern w:val="0"/>
          <w:szCs w:val="21"/>
        </w:rPr>
        <w:t xml:space="preserve"> </w:t>
      </w:r>
      <w:r w:rsidRPr="0018347A">
        <w:rPr>
          <w:rFonts w:ascii="仿宋" w:eastAsia="仿宋" w:hAnsi="仿宋" w:cs="宋体" w:hint="eastAsia"/>
          <w:b/>
          <w:bCs/>
          <w:color w:val="333333"/>
          <w:kern w:val="0"/>
          <w:sz w:val="32"/>
          <w:szCs w:val="32"/>
        </w:rPr>
        <w:t>社会保障和就业支出（类）财政对其他社会保险基金的补助（款）财政对失业保险基金的补助（项）</w:t>
      </w:r>
      <w:r w:rsidRPr="0018347A">
        <w:rPr>
          <w:rFonts w:ascii="仿宋" w:eastAsia="仿宋" w:hAnsi="仿宋" w:cs="宋体" w:hint="eastAsia"/>
          <w:color w:val="333333"/>
          <w:kern w:val="0"/>
          <w:sz w:val="32"/>
          <w:szCs w:val="32"/>
        </w:rPr>
        <w:t>。年初预算为2.18万元，支出决算为2.18万元，决算数与预算数一致。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6.</w:t>
      </w:r>
      <w:r w:rsidRPr="0018347A">
        <w:rPr>
          <w:rFonts w:ascii="Calibri" w:eastAsia="微软雅黑" w:hAnsi="Calibri" w:cs="宋体"/>
          <w:color w:val="333333"/>
          <w:kern w:val="0"/>
          <w:szCs w:val="21"/>
        </w:rPr>
        <w:t xml:space="preserve"> </w:t>
      </w:r>
      <w:r w:rsidRPr="0018347A">
        <w:rPr>
          <w:rFonts w:ascii="仿宋" w:eastAsia="仿宋" w:hAnsi="仿宋" w:cs="宋体" w:hint="eastAsia"/>
          <w:b/>
          <w:bCs/>
          <w:color w:val="333333"/>
          <w:kern w:val="0"/>
          <w:sz w:val="32"/>
          <w:szCs w:val="32"/>
        </w:rPr>
        <w:t>社会保障和就业支出（类）财政对其他社会保险基金的补助（款）财政对工伤保险基金的补助（项）</w:t>
      </w:r>
      <w:r w:rsidRPr="0018347A">
        <w:rPr>
          <w:rFonts w:ascii="仿宋" w:eastAsia="仿宋" w:hAnsi="仿宋" w:cs="宋体" w:hint="eastAsia"/>
          <w:color w:val="333333"/>
          <w:kern w:val="0"/>
          <w:sz w:val="32"/>
          <w:szCs w:val="32"/>
        </w:rPr>
        <w:t>。年初预算为0.87万元，支出决算为0.87万元，决算数与预算数一致。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7.</w:t>
      </w:r>
      <w:r w:rsidRPr="0018347A">
        <w:rPr>
          <w:rFonts w:ascii="Calibri" w:eastAsia="微软雅黑" w:hAnsi="Calibri" w:cs="宋体"/>
          <w:color w:val="333333"/>
          <w:kern w:val="0"/>
          <w:szCs w:val="21"/>
        </w:rPr>
        <w:t xml:space="preserve"> </w:t>
      </w:r>
      <w:r w:rsidRPr="0018347A">
        <w:rPr>
          <w:rFonts w:ascii="仿宋" w:eastAsia="仿宋" w:hAnsi="仿宋" w:cs="宋体" w:hint="eastAsia"/>
          <w:b/>
          <w:bCs/>
          <w:color w:val="333333"/>
          <w:kern w:val="0"/>
          <w:sz w:val="32"/>
          <w:szCs w:val="32"/>
        </w:rPr>
        <w:t>社会保障和就业支出（类）财政对其他社会保险基金的补助（款）财政对生育保险基金的补助（项）</w:t>
      </w:r>
      <w:r w:rsidRPr="0018347A">
        <w:rPr>
          <w:rFonts w:ascii="仿宋" w:eastAsia="仿宋" w:hAnsi="仿宋" w:cs="宋体" w:hint="eastAsia"/>
          <w:color w:val="333333"/>
          <w:kern w:val="0"/>
          <w:sz w:val="32"/>
          <w:szCs w:val="32"/>
        </w:rPr>
        <w:t>。年初预算为1.60万元，支出决算为1.60万元，决算数与预算数一致。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 xml:space="preserve">8. </w:t>
      </w:r>
      <w:r w:rsidRPr="0018347A">
        <w:rPr>
          <w:rFonts w:ascii="仿宋" w:eastAsia="仿宋" w:hAnsi="仿宋" w:cs="宋体" w:hint="eastAsia"/>
          <w:b/>
          <w:bCs/>
          <w:color w:val="333333"/>
          <w:kern w:val="0"/>
          <w:sz w:val="32"/>
          <w:szCs w:val="32"/>
        </w:rPr>
        <w:t>医疗卫生与计划生育支出（类）行政事业单位医疗（款）行政单位医疗（项）</w:t>
      </w:r>
      <w:r w:rsidRPr="0018347A">
        <w:rPr>
          <w:rFonts w:ascii="仿宋" w:eastAsia="仿宋" w:hAnsi="仿宋" w:cs="宋体" w:hint="eastAsia"/>
          <w:color w:val="333333"/>
          <w:kern w:val="0"/>
          <w:sz w:val="32"/>
          <w:szCs w:val="32"/>
        </w:rPr>
        <w:t>。年初预算为42.79万元，支出决算为167.55万元，完成年初预算的391.56%，决算数大于预算数的主要原因是支付离休干部医疗费。</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9. </w:t>
      </w:r>
      <w:r w:rsidRPr="0018347A">
        <w:rPr>
          <w:rFonts w:ascii="仿宋" w:eastAsia="仿宋" w:hAnsi="仿宋" w:cs="宋体" w:hint="eastAsia"/>
          <w:b/>
          <w:bCs/>
          <w:color w:val="333333"/>
          <w:kern w:val="0"/>
          <w:sz w:val="32"/>
          <w:szCs w:val="32"/>
        </w:rPr>
        <w:t>住房保障支出（类）住房改革支出（款）住房公积金（项）。</w:t>
      </w:r>
      <w:r w:rsidRPr="0018347A">
        <w:rPr>
          <w:rFonts w:ascii="仿宋" w:eastAsia="仿宋" w:hAnsi="仿宋" w:cs="宋体" w:hint="eastAsia"/>
          <w:color w:val="333333"/>
          <w:kern w:val="0"/>
          <w:sz w:val="32"/>
          <w:szCs w:val="32"/>
        </w:rPr>
        <w:t>年初预算为47.88万元，支出决算为47.88万元，决算数与预算数一致。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10. </w:t>
      </w:r>
      <w:r w:rsidRPr="0018347A">
        <w:rPr>
          <w:rFonts w:ascii="仿宋" w:eastAsia="仿宋" w:hAnsi="仿宋" w:cs="宋体" w:hint="eastAsia"/>
          <w:b/>
          <w:bCs/>
          <w:color w:val="333333"/>
          <w:kern w:val="0"/>
          <w:sz w:val="32"/>
          <w:szCs w:val="32"/>
        </w:rPr>
        <w:t>住房保障支出（类）住房改革支出（款） 提租补贴（项）</w:t>
      </w:r>
      <w:r w:rsidRPr="0018347A">
        <w:rPr>
          <w:rFonts w:ascii="仿宋" w:eastAsia="仿宋" w:hAnsi="仿宋" w:cs="宋体" w:hint="eastAsia"/>
          <w:color w:val="333333"/>
          <w:kern w:val="0"/>
          <w:sz w:val="32"/>
          <w:szCs w:val="32"/>
        </w:rPr>
        <w:t>。年初预算为19.61万元，支出决算为19.61万元，决算数与预算数一致。</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六、2017年度一般公共预算财政拨款基本支出决算情况说明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财政拨款基本支出1,919.52万元，其中人员经费1,173.5万元，主要包括：基本工资、津贴补贴、奖金、其他社会保障缴费、绩效工资、机关事业单位基本养老保险缴费、职业年金缴费、离休费、退休费、抚恤金、生活补助、住房公积金、提租补贴、其他对个人和家庭补助支出；公用经费746.02万元，主要包括：办公费、印刷费、水费、电费、邮电费、物业管理费、差旅费、维修（护）费、会议费、培训费、公务接待费、劳务费、工会经费、其他交通费用、办公设备购置、专用设备购置。</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七、2017年度政府性基金财政拨款收入支出情况说明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2017年,宿州市委党校没有政府性基金收入，也没有使用政府性基金安排的支出。</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八、其他重要事项的情况说明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（一）机关运行经费支出情况。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2017年度，宿州市委党校机关运行经费支出746.02万元，比2016年增加448.11万元，增长150.42%，主要原因: 补发教职工和离退休人员工资</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（二）政府采购支出情况。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2017年度，宿州市委党校政府采购支出总额1,006.11万元，其中：政府采购货物支出1,006.11万元，政府采购工程支出0万元、政府采购服务支出0万元。未授予中小企业合同。</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（三）国有资产占有使用情况。</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截至2017年12月31日，宿州市委党校共有车辆1辆，其中：一般公务用车1辆；单价50万元以上的通用设备0台（套），单价100万以上专用设备0台（套）。</w:t>
      </w:r>
      <w:r w:rsidRPr="0018347A">
        <w:rPr>
          <w:rFonts w:ascii="仿宋" w:eastAsia="仿宋" w:hAnsi="仿宋" w:cs="宋体" w:hint="eastAsia"/>
          <w:color w:val="333333"/>
          <w:kern w:val="0"/>
          <w:sz w:val="32"/>
          <w:szCs w:val="32"/>
        </w:rPr>
        <w:br/>
      </w:r>
      <w:r w:rsidRPr="0018347A">
        <w:rPr>
          <w:rFonts w:ascii="宋体" w:eastAsia="宋体" w:hAnsi="宋体" w:cs="宋体" w:hint="eastAsia"/>
          <w:color w:val="333333"/>
          <w:kern w:val="0"/>
          <w:sz w:val="32"/>
          <w:szCs w:val="32"/>
        </w:rPr>
        <w:t> </w:t>
      </w:r>
      <w:r w:rsidRPr="0018347A">
        <w:rPr>
          <w:rFonts w:ascii="宋体" w:eastAsia="宋体" w:hAnsi="宋体" w:cs="宋体" w:hint="eastAsia"/>
          <w:b/>
          <w:bCs/>
          <w:i/>
          <w:iCs/>
          <w:color w:val="333333"/>
          <w:kern w:val="0"/>
          <w:sz w:val="32"/>
          <w:szCs w:val="32"/>
        </w:rPr>
        <w:t> </w:t>
      </w:r>
      <w:r w:rsidRPr="0018347A">
        <w:rPr>
          <w:rFonts w:ascii="宋体" w:eastAsia="宋体" w:hAnsi="宋体" w:cs="宋体" w:hint="eastAsia"/>
          <w:color w:val="333333"/>
          <w:kern w:val="0"/>
          <w:sz w:val="32"/>
          <w:szCs w:val="32"/>
        </w:rPr>
        <w:t> </w:t>
      </w:r>
      <w:r w:rsidRPr="0018347A">
        <w:rPr>
          <w:rFonts w:ascii="仿宋" w:eastAsia="仿宋" w:hAnsi="仿宋" w:cs="宋体" w:hint="eastAsia"/>
          <w:b/>
          <w:bCs/>
          <w:color w:val="333333"/>
          <w:kern w:val="0"/>
          <w:sz w:val="32"/>
          <w:szCs w:val="32"/>
        </w:rPr>
        <w:t>（四）关于2017年度预算绩效情况说明</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2017年度，中共宿州市委党校没有开展预算绩效管理工作。</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第三部分 名词解释</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一、财政拨款收入：</w:t>
      </w:r>
      <w:r w:rsidRPr="0018347A">
        <w:rPr>
          <w:rFonts w:ascii="仿宋" w:eastAsia="仿宋" w:hAnsi="仿宋" w:cs="宋体" w:hint="eastAsia"/>
          <w:color w:val="333333"/>
          <w:kern w:val="0"/>
          <w:sz w:val="32"/>
          <w:szCs w:val="32"/>
        </w:rPr>
        <w:t>指单位从同级财政部门取得的财政预算资金。</w:t>
      </w:r>
    </w:p>
    <w:p w:rsidR="0018347A" w:rsidRPr="0018347A" w:rsidRDefault="0018347A" w:rsidP="0018347A">
      <w:pPr>
        <w:widowControl/>
        <w:spacing w:line="60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lastRenderedPageBreak/>
        <w:t>二、事业收入：</w:t>
      </w:r>
      <w:r w:rsidRPr="0018347A">
        <w:rPr>
          <w:rFonts w:ascii="仿宋" w:eastAsia="仿宋" w:hAnsi="仿宋" w:cs="宋体" w:hint="eastAsia"/>
          <w:color w:val="333333"/>
          <w:kern w:val="0"/>
          <w:sz w:val="32"/>
          <w:szCs w:val="32"/>
        </w:rPr>
        <w:t>指事业单位开展专业业务活动及辅助活动所取得的收入。</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三、上级补助收入：</w:t>
      </w:r>
      <w:r w:rsidRPr="0018347A">
        <w:rPr>
          <w:rFonts w:ascii="仿宋" w:eastAsia="仿宋" w:hAnsi="仿宋" w:cs="宋体" w:hint="eastAsia"/>
          <w:color w:val="333333"/>
          <w:kern w:val="0"/>
          <w:sz w:val="32"/>
          <w:szCs w:val="32"/>
        </w:rPr>
        <w:t>指事业单位从主管部门和上级单位取得的非财政补助收入。</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四、附属单位上缴收入：</w:t>
      </w:r>
      <w:r w:rsidRPr="0018347A">
        <w:rPr>
          <w:rFonts w:ascii="仿宋" w:eastAsia="仿宋" w:hAnsi="仿宋" w:cs="宋体" w:hint="eastAsia"/>
          <w:color w:val="333333"/>
          <w:kern w:val="0"/>
          <w:sz w:val="32"/>
          <w:szCs w:val="32"/>
        </w:rPr>
        <w:t>指事业单位附属独立核算单位按照有关规定上缴的收入。</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五、经营收入</w:t>
      </w:r>
      <w:r w:rsidRPr="0018347A">
        <w:rPr>
          <w:rFonts w:ascii="宋体" w:eastAsia="宋体" w:hAnsi="宋体" w:cs="宋体" w:hint="eastAsia"/>
          <w:b/>
          <w:bCs/>
          <w:color w:val="383535"/>
          <w:kern w:val="0"/>
          <w:sz w:val="24"/>
          <w:szCs w:val="24"/>
        </w:rPr>
        <w:t>：</w:t>
      </w:r>
      <w:r w:rsidRPr="0018347A">
        <w:rPr>
          <w:rFonts w:ascii="仿宋" w:eastAsia="仿宋" w:hAnsi="仿宋" w:cs="宋体" w:hint="eastAsia"/>
          <w:color w:val="333333"/>
          <w:kern w:val="0"/>
          <w:sz w:val="32"/>
          <w:szCs w:val="32"/>
        </w:rPr>
        <w:t>指事业单位在专业业务活动及其辅助活动之外开展非独立核算经营活动取得的收入。</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六、其他收入：</w:t>
      </w:r>
      <w:r w:rsidRPr="0018347A">
        <w:rPr>
          <w:rFonts w:ascii="仿宋" w:eastAsia="仿宋" w:hAnsi="仿宋" w:cs="宋体" w:hint="eastAsia"/>
          <w:color w:val="333333"/>
          <w:kern w:val="0"/>
          <w:sz w:val="32"/>
          <w:szCs w:val="32"/>
        </w:rPr>
        <w:t>指事业单位除财政补助收入、事业收入、上级补助收入、附属单位上缴收入、经营收入以外的各项收入，包括投资收益、银行存款利息收入、租金收入、捐赠收入、现金盘盈收入、存货盘盈收入、收回已核销应收及预付款项、无法偿付的应付及预收款项等。</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七、用事业基金弥补收支差额：</w:t>
      </w:r>
      <w:r w:rsidRPr="0018347A">
        <w:rPr>
          <w:rFonts w:ascii="仿宋" w:eastAsia="仿宋" w:hAnsi="仿宋" w:cs="宋体" w:hint="eastAsia"/>
          <w:color w:val="333333"/>
          <w:kern w:val="0"/>
          <w:sz w:val="32"/>
          <w:szCs w:val="32"/>
        </w:rPr>
        <w:t>指事业单位在当年的财政拨款收入、事业收入、其他收入不足以安排当年支出的情况下，使用以前年度积累的事业基金（事业单位当年收支相抵后按国家规定提取、用于弥补以后年度收支差额的基金）弥补本年度收支缺口的资金。</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八、年初结转和结余：</w:t>
      </w:r>
      <w:r w:rsidRPr="0018347A">
        <w:rPr>
          <w:rFonts w:ascii="仿宋" w:eastAsia="仿宋" w:hAnsi="仿宋" w:cs="宋体" w:hint="eastAsia"/>
          <w:color w:val="333333"/>
          <w:kern w:val="0"/>
          <w:sz w:val="32"/>
          <w:szCs w:val="32"/>
        </w:rPr>
        <w:t>指单位以前年度尚未完成、结转到本年按有关规定继续使用的资金。</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lastRenderedPageBreak/>
        <w:t>九、结余分配：</w:t>
      </w:r>
      <w:r w:rsidRPr="0018347A">
        <w:rPr>
          <w:rFonts w:ascii="仿宋" w:eastAsia="仿宋" w:hAnsi="仿宋" w:cs="宋体" w:hint="eastAsia"/>
          <w:color w:val="333333"/>
          <w:kern w:val="0"/>
          <w:sz w:val="32"/>
          <w:szCs w:val="32"/>
        </w:rPr>
        <w:t>指事业单位按照会计制度规定缴纳的所得税以及从非财政补助结余中提取的职工福利基金、事业基金。</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十、年末结转和结余：</w:t>
      </w:r>
      <w:r w:rsidRPr="0018347A">
        <w:rPr>
          <w:rFonts w:ascii="仿宋" w:eastAsia="仿宋" w:hAnsi="仿宋" w:cs="宋体" w:hint="eastAsia"/>
          <w:color w:val="333333"/>
          <w:kern w:val="0"/>
          <w:sz w:val="32"/>
          <w:szCs w:val="32"/>
        </w:rPr>
        <w:t>指单位按有关规定结转到下年或以后年度继续使用的资金。</w:t>
      </w:r>
    </w:p>
    <w:p w:rsidR="0018347A" w:rsidRPr="0018347A" w:rsidRDefault="0018347A" w:rsidP="0018347A">
      <w:pPr>
        <w:widowControl/>
        <w:spacing w:line="600" w:lineRule="atLeast"/>
        <w:ind w:firstLine="616"/>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十一、基本支出：</w:t>
      </w:r>
      <w:r w:rsidRPr="0018347A">
        <w:rPr>
          <w:rFonts w:ascii="仿宋" w:eastAsia="仿宋" w:hAnsi="仿宋" w:cs="宋体" w:hint="eastAsia"/>
          <w:color w:val="333333"/>
          <w:kern w:val="0"/>
          <w:sz w:val="32"/>
          <w:szCs w:val="32"/>
        </w:rPr>
        <w:t>指单位为保障其机构正常运转、完成日常工作任务而发生的人员支出和公用支出。</w:t>
      </w:r>
    </w:p>
    <w:p w:rsidR="0018347A" w:rsidRPr="0018347A" w:rsidRDefault="0018347A" w:rsidP="0018347A">
      <w:pPr>
        <w:widowControl/>
        <w:spacing w:line="600" w:lineRule="atLeast"/>
        <w:ind w:firstLine="616"/>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十二、项目支出：</w:t>
      </w:r>
      <w:r w:rsidRPr="0018347A">
        <w:rPr>
          <w:rFonts w:ascii="仿宋" w:eastAsia="仿宋" w:hAnsi="仿宋" w:cs="宋体" w:hint="eastAsia"/>
          <w:color w:val="333333"/>
          <w:kern w:val="0"/>
          <w:sz w:val="32"/>
          <w:szCs w:val="32"/>
        </w:rPr>
        <w:t>指单位为完成特定行政任务和事业发展目标在基本支出之外所发生的支出。</w:t>
      </w:r>
      <w:r w:rsidRPr="0018347A">
        <w:rPr>
          <w:rFonts w:ascii="仿宋" w:eastAsia="仿宋" w:hAnsi="仿宋" w:cs="宋体" w:hint="eastAsia"/>
          <w:color w:val="333333"/>
          <w:kern w:val="0"/>
          <w:sz w:val="32"/>
          <w:szCs w:val="32"/>
        </w:rPr>
        <w:br/>
      </w:r>
      <w:r w:rsidRPr="0018347A">
        <w:rPr>
          <w:rFonts w:ascii="宋体" w:eastAsia="宋体" w:hAnsi="宋体" w:cs="宋体" w:hint="eastAsia"/>
          <w:color w:val="333333"/>
          <w:kern w:val="0"/>
          <w:sz w:val="32"/>
          <w:szCs w:val="32"/>
        </w:rPr>
        <w:t>   </w:t>
      </w:r>
      <w:r w:rsidRPr="0018347A">
        <w:rPr>
          <w:rFonts w:ascii="仿宋" w:eastAsia="仿宋" w:hAnsi="仿宋" w:cs="仿宋" w:hint="eastAsia"/>
          <w:color w:val="333333"/>
          <w:kern w:val="0"/>
          <w:sz w:val="32"/>
          <w:szCs w:val="32"/>
        </w:rPr>
        <w:t xml:space="preserve"> </w:t>
      </w:r>
      <w:r w:rsidRPr="0018347A">
        <w:rPr>
          <w:rFonts w:ascii="仿宋" w:eastAsia="仿宋" w:hAnsi="仿宋" w:cs="宋体" w:hint="eastAsia"/>
          <w:b/>
          <w:bCs/>
          <w:color w:val="333333"/>
          <w:kern w:val="0"/>
          <w:sz w:val="32"/>
          <w:szCs w:val="32"/>
        </w:rPr>
        <w:t>十三、经营支出：</w:t>
      </w:r>
      <w:r w:rsidRPr="0018347A">
        <w:rPr>
          <w:rFonts w:ascii="仿宋" w:eastAsia="仿宋" w:hAnsi="仿宋" w:cs="宋体" w:hint="eastAsia"/>
          <w:color w:val="333333"/>
          <w:kern w:val="0"/>
          <w:sz w:val="32"/>
          <w:szCs w:val="32"/>
        </w:rPr>
        <w:t>指事业单位在专业业务活动及其辅助活动之外开展非独立核算经营活动发生的支出。</w:t>
      </w:r>
    </w:p>
    <w:p w:rsidR="0018347A" w:rsidRPr="0018347A" w:rsidRDefault="0018347A" w:rsidP="0018347A">
      <w:pPr>
        <w:widowControl/>
        <w:spacing w:line="600" w:lineRule="atLeast"/>
        <w:ind w:firstLine="616"/>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十四、</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三公</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经费：</w:t>
      </w:r>
      <w:r w:rsidRPr="0018347A">
        <w:rPr>
          <w:rFonts w:ascii="仿宋" w:eastAsia="仿宋" w:hAnsi="仿宋" w:cs="宋体" w:hint="eastAsia"/>
          <w:color w:val="333333"/>
          <w:kern w:val="0"/>
          <w:sz w:val="32"/>
          <w:szCs w:val="32"/>
        </w:rPr>
        <w:t>纳入财政预决算管理的</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经费，是指单位用财政拨款安排的因公出国（境）费、公务用车购置及运行费和公务接待费，是党政机关维持运转或完成特定工作任务所开支的相关支出，是政府行政开支的一部分。其中，因公出国（境）费反映单位公务出国（境）的国际旅费、国外城市间交通费、住宿费、伙食费、培训费、公杂费等支出；公务用车购置及运行费反映单位公务用车购置支出（含车辆购置税）及燃料费、维修费、过桥过路费、保险费、安全奖励费用等支出；公务接待费反映单位按规定开支的各类公务接待（含外宾接待）支出。</w:t>
      </w:r>
    </w:p>
    <w:p w:rsidR="0018347A" w:rsidRPr="0018347A" w:rsidRDefault="0018347A" w:rsidP="0018347A">
      <w:pPr>
        <w:widowControl/>
        <w:spacing w:line="600" w:lineRule="atLeast"/>
        <w:ind w:firstLine="616"/>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lastRenderedPageBreak/>
        <w:t>十五、机关运行经费</w:t>
      </w:r>
      <w:r w:rsidRPr="0018347A">
        <w:rPr>
          <w:rFonts w:ascii="仿宋" w:eastAsia="仿宋" w:hAnsi="仿宋" w:cs="宋体" w:hint="eastAsia"/>
          <w:color w:val="333333"/>
          <w:kern w:val="0"/>
          <w:sz w:val="32"/>
          <w:szCs w:val="32"/>
        </w:rPr>
        <w:t>：指为保障行政单位（含参照公务员法管理的事业单位）运行用于购买货物和服务的各项资金，包括办公及印刷费、邮电费、差旅费、会议费、福利费、日常维修费、专用材料费及一般设备购置费、办公用房水电费、办公用房取暖费、办公用房物业管理费、公务用车运行维护费以及其他费用。</w:t>
      </w:r>
    </w:p>
    <w:p w:rsidR="0018347A" w:rsidRPr="0018347A" w:rsidRDefault="0018347A" w:rsidP="0018347A">
      <w:pPr>
        <w:widowControl/>
        <w:spacing w:line="600" w:lineRule="atLeast"/>
        <w:ind w:left="1667" w:hanging="882"/>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36"/>
          <w:szCs w:val="36"/>
        </w:rPr>
        <w:t> </w:t>
      </w:r>
    </w:p>
    <w:p w:rsidR="0018347A" w:rsidRPr="0018347A" w:rsidRDefault="0018347A" w:rsidP="0018347A">
      <w:pPr>
        <w:widowControl/>
        <w:spacing w:line="600" w:lineRule="atLeast"/>
        <w:ind w:left="1667" w:hanging="882"/>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36"/>
          <w:szCs w:val="36"/>
        </w:rPr>
        <w:t> </w:t>
      </w:r>
    </w:p>
    <w:p w:rsidR="0018347A" w:rsidRPr="0018347A" w:rsidRDefault="0018347A" w:rsidP="0018347A">
      <w:pPr>
        <w:widowControl/>
        <w:spacing w:line="600" w:lineRule="atLeast"/>
        <w:ind w:left="1667" w:hanging="882"/>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36"/>
          <w:szCs w:val="36"/>
        </w:rPr>
        <w:t> </w:t>
      </w:r>
    </w:p>
    <w:p w:rsidR="0018347A" w:rsidRPr="0018347A" w:rsidRDefault="0018347A" w:rsidP="0018347A">
      <w:pPr>
        <w:widowControl/>
        <w:spacing w:line="560" w:lineRule="atLeast"/>
        <w:ind w:left="1667" w:hanging="882"/>
        <w:jc w:val="center"/>
        <w:rPr>
          <w:rFonts w:ascii="Calibri" w:eastAsia="微软雅黑" w:hAnsi="Calibri" w:cs="宋体"/>
          <w:color w:val="333333"/>
          <w:kern w:val="0"/>
          <w:szCs w:val="21"/>
        </w:rPr>
      </w:pPr>
      <w:r w:rsidRPr="0018347A">
        <w:rPr>
          <w:rFonts w:ascii="宋体" w:eastAsia="宋体" w:hAnsi="宋体" w:cs="宋体" w:hint="eastAsia"/>
          <w:b/>
          <w:bCs/>
          <w:color w:val="333333"/>
          <w:kern w:val="0"/>
          <w:sz w:val="36"/>
          <w:szCs w:val="36"/>
        </w:rPr>
        <w:t> </w:t>
      </w:r>
    </w:p>
    <w:p w:rsidR="0018347A" w:rsidRPr="0018347A" w:rsidRDefault="0018347A" w:rsidP="0018347A">
      <w:pPr>
        <w:widowControl/>
        <w:spacing w:line="560" w:lineRule="atLeast"/>
        <w:ind w:left="1667" w:hanging="882"/>
        <w:jc w:val="center"/>
        <w:rPr>
          <w:rFonts w:ascii="Calibri" w:eastAsia="微软雅黑" w:hAnsi="Calibri" w:cs="宋体"/>
          <w:color w:val="333333"/>
          <w:kern w:val="0"/>
          <w:szCs w:val="21"/>
        </w:rPr>
      </w:pPr>
      <w:r w:rsidRPr="0018347A">
        <w:rPr>
          <w:rFonts w:ascii="仿宋" w:eastAsia="仿宋" w:hAnsi="仿宋" w:cs="宋体" w:hint="eastAsia"/>
          <w:b/>
          <w:bCs/>
          <w:color w:val="333333"/>
          <w:kern w:val="0"/>
          <w:sz w:val="36"/>
          <w:szCs w:val="36"/>
        </w:rPr>
        <w:t>宿州市委党校</w:t>
      </w:r>
      <w:r w:rsidRPr="0018347A">
        <w:rPr>
          <w:rFonts w:ascii="宋体" w:eastAsia="宋体" w:hAnsi="宋体" w:cs="宋体" w:hint="eastAsia"/>
          <w:b/>
          <w:bCs/>
          <w:color w:val="333333"/>
          <w:kern w:val="0"/>
          <w:sz w:val="36"/>
          <w:szCs w:val="36"/>
        </w:rPr>
        <w:t>2017</w:t>
      </w:r>
      <w:r w:rsidRPr="0018347A">
        <w:rPr>
          <w:rFonts w:ascii="仿宋" w:eastAsia="仿宋" w:hAnsi="仿宋" w:cs="宋体" w:hint="eastAsia"/>
          <w:b/>
          <w:bCs/>
          <w:color w:val="333333"/>
          <w:kern w:val="0"/>
          <w:sz w:val="36"/>
          <w:szCs w:val="36"/>
        </w:rPr>
        <w:t>年一般公共预算财政</w:t>
      </w:r>
    </w:p>
    <w:p w:rsidR="0018347A" w:rsidRPr="0018347A" w:rsidRDefault="0018347A" w:rsidP="0018347A">
      <w:pPr>
        <w:widowControl/>
        <w:spacing w:line="560" w:lineRule="atLeast"/>
        <w:ind w:left="1667" w:hanging="882"/>
        <w:jc w:val="center"/>
        <w:rPr>
          <w:rFonts w:ascii="Calibri" w:eastAsia="微软雅黑" w:hAnsi="Calibri" w:cs="宋体"/>
          <w:color w:val="333333"/>
          <w:kern w:val="0"/>
          <w:szCs w:val="21"/>
        </w:rPr>
      </w:pPr>
      <w:r w:rsidRPr="0018347A">
        <w:rPr>
          <w:rFonts w:ascii="仿宋" w:eastAsia="仿宋" w:hAnsi="仿宋" w:cs="宋体" w:hint="eastAsia"/>
          <w:b/>
          <w:bCs/>
          <w:color w:val="333333"/>
          <w:kern w:val="0"/>
          <w:sz w:val="36"/>
          <w:szCs w:val="36"/>
        </w:rPr>
        <w:t>拨款</w:t>
      </w:r>
      <w:r w:rsidRPr="0018347A">
        <w:rPr>
          <w:rFonts w:ascii="Times New Roman" w:eastAsia="微软雅黑" w:hAnsi="Times New Roman" w:cs="Times New Roman"/>
          <w:b/>
          <w:bCs/>
          <w:color w:val="333333"/>
          <w:kern w:val="0"/>
          <w:sz w:val="36"/>
          <w:szCs w:val="36"/>
        </w:rPr>
        <w:t>“</w:t>
      </w:r>
      <w:r w:rsidRPr="0018347A">
        <w:rPr>
          <w:rFonts w:ascii="仿宋" w:eastAsia="仿宋" w:hAnsi="仿宋" w:cs="宋体" w:hint="eastAsia"/>
          <w:b/>
          <w:bCs/>
          <w:color w:val="333333"/>
          <w:kern w:val="0"/>
          <w:sz w:val="36"/>
          <w:szCs w:val="36"/>
        </w:rPr>
        <w:t>三公</w:t>
      </w:r>
      <w:r w:rsidRPr="0018347A">
        <w:rPr>
          <w:rFonts w:ascii="Times New Roman" w:eastAsia="微软雅黑" w:hAnsi="Times New Roman" w:cs="Times New Roman"/>
          <w:b/>
          <w:bCs/>
          <w:color w:val="333333"/>
          <w:kern w:val="0"/>
          <w:sz w:val="36"/>
          <w:szCs w:val="36"/>
        </w:rPr>
        <w:t>”</w:t>
      </w:r>
      <w:r w:rsidRPr="0018347A">
        <w:rPr>
          <w:rFonts w:ascii="仿宋" w:eastAsia="仿宋" w:hAnsi="仿宋" w:cs="宋体" w:hint="eastAsia"/>
          <w:b/>
          <w:bCs/>
          <w:color w:val="333333"/>
          <w:kern w:val="0"/>
          <w:sz w:val="36"/>
          <w:szCs w:val="36"/>
        </w:rPr>
        <w:t>经费支出决算情况说明</w:t>
      </w:r>
    </w:p>
    <w:p w:rsidR="0018347A" w:rsidRPr="0018347A" w:rsidRDefault="0018347A" w:rsidP="0018347A">
      <w:pPr>
        <w:widowControl/>
        <w:spacing w:line="560" w:lineRule="atLeast"/>
        <w:jc w:val="center"/>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t> </w:t>
      </w:r>
    </w:p>
    <w:p w:rsidR="0018347A" w:rsidRPr="0018347A" w:rsidRDefault="0018347A" w:rsidP="0018347A">
      <w:pPr>
        <w:widowControl/>
        <w:spacing w:line="560" w:lineRule="atLeast"/>
        <w:jc w:val="center"/>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一、2017年一般公共预算财政拨款</w:t>
      </w:r>
      <w:r w:rsidRPr="0018347A">
        <w:rPr>
          <w:rFonts w:ascii="Times New Roman" w:eastAsia="微软雅黑" w:hAnsi="Times New Roman" w:cs="Times New Roman"/>
          <w:color w:val="333333"/>
          <w:kern w:val="0"/>
          <w:sz w:val="32"/>
          <w:szCs w:val="32"/>
        </w:rPr>
        <w:t>“</w:t>
      </w:r>
      <w:r w:rsidRPr="0018347A">
        <w:rPr>
          <w:rFonts w:ascii="黑体" w:eastAsia="黑体" w:hAnsi="黑体"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黑体" w:eastAsia="黑体" w:hAnsi="黑体" w:cs="宋体" w:hint="eastAsia"/>
          <w:color w:val="333333"/>
          <w:kern w:val="0"/>
          <w:sz w:val="32"/>
          <w:szCs w:val="32"/>
        </w:rPr>
        <w:t>经费支出决算表</w:t>
      </w:r>
    </w:p>
    <w:p w:rsidR="0018347A" w:rsidRPr="0018347A" w:rsidRDefault="0018347A" w:rsidP="0018347A">
      <w:pPr>
        <w:widowControl/>
        <w:spacing w:line="560" w:lineRule="atLeast"/>
        <w:ind w:right="628" w:firstLine="5991"/>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单位：万元</w:t>
      </w:r>
    </w:p>
    <w:tbl>
      <w:tblPr>
        <w:tblW w:w="5080" w:type="dxa"/>
        <w:tblCellMar>
          <w:left w:w="0" w:type="dxa"/>
          <w:right w:w="0" w:type="dxa"/>
        </w:tblCellMar>
        <w:tblLook w:val="04A0"/>
      </w:tblPr>
      <w:tblGrid>
        <w:gridCol w:w="3145"/>
        <w:gridCol w:w="836"/>
        <w:gridCol w:w="1099"/>
      </w:tblGrid>
      <w:tr w:rsidR="0018347A" w:rsidRPr="0018347A" w:rsidTr="0018347A">
        <w:tc>
          <w:tcPr>
            <w:tcW w:w="4379" w:type="dxa"/>
            <w:tcBorders>
              <w:top w:val="single" w:sz="8" w:space="0" w:color="auto"/>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项</w:t>
            </w:r>
            <w:r w:rsidRPr="0018347A">
              <w:rPr>
                <w:rFonts w:ascii="宋体" w:eastAsia="宋体" w:hAnsi="宋体" w:cs="宋体" w:hint="eastAsia"/>
                <w:b/>
                <w:bCs/>
                <w:color w:val="333333"/>
                <w:kern w:val="0"/>
                <w:sz w:val="32"/>
                <w:szCs w:val="32"/>
              </w:rPr>
              <w:t> </w:t>
            </w:r>
            <w:r w:rsidRPr="0018347A">
              <w:rPr>
                <w:rFonts w:ascii="仿宋" w:eastAsia="仿宋" w:hAnsi="仿宋" w:cs="仿宋" w:hint="eastAsia"/>
                <w:b/>
                <w:bCs/>
                <w:color w:val="333333"/>
                <w:kern w:val="0"/>
                <w:sz w:val="32"/>
                <w:szCs w:val="32"/>
              </w:rPr>
              <w:t xml:space="preserve"> </w:t>
            </w:r>
            <w:r w:rsidRPr="0018347A">
              <w:rPr>
                <w:rFonts w:ascii="仿宋" w:eastAsia="仿宋" w:hAnsi="仿宋" w:cs="宋体" w:hint="eastAsia"/>
                <w:b/>
                <w:bCs/>
                <w:color w:val="333333"/>
                <w:kern w:val="0"/>
                <w:sz w:val="32"/>
                <w:szCs w:val="32"/>
              </w:rPr>
              <w:t>目</w:t>
            </w:r>
          </w:p>
        </w:tc>
        <w:tc>
          <w:tcPr>
            <w:tcW w:w="1676" w:type="dxa"/>
            <w:tcBorders>
              <w:top w:val="single" w:sz="8" w:space="0" w:color="auto"/>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预 算 数</w:t>
            </w:r>
          </w:p>
        </w:tc>
        <w:tc>
          <w:tcPr>
            <w:tcW w:w="1565" w:type="dxa"/>
            <w:tcBorders>
              <w:top w:val="single" w:sz="8" w:space="0" w:color="auto"/>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决 算 数</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合</w:t>
            </w:r>
            <w:r w:rsidRPr="0018347A">
              <w:rPr>
                <w:rFonts w:ascii="宋体" w:eastAsia="宋体" w:hAnsi="宋体" w:cs="宋体" w:hint="eastAsia"/>
                <w:b/>
                <w:bCs/>
                <w:color w:val="333333"/>
                <w:kern w:val="0"/>
                <w:sz w:val="32"/>
                <w:szCs w:val="32"/>
              </w:rPr>
              <w:t> </w:t>
            </w:r>
            <w:r w:rsidRPr="0018347A">
              <w:rPr>
                <w:rFonts w:ascii="仿宋" w:eastAsia="仿宋" w:hAnsi="仿宋" w:cs="仿宋" w:hint="eastAsia"/>
                <w:b/>
                <w:bCs/>
                <w:color w:val="333333"/>
                <w:kern w:val="0"/>
                <w:sz w:val="32"/>
                <w:szCs w:val="32"/>
              </w:rPr>
              <w:t xml:space="preserve"> </w:t>
            </w:r>
            <w:r w:rsidRPr="0018347A">
              <w:rPr>
                <w:rFonts w:ascii="仿宋" w:eastAsia="仿宋" w:hAnsi="仿宋" w:cs="宋体" w:hint="eastAsia"/>
                <w:b/>
                <w:bCs/>
                <w:color w:val="333333"/>
                <w:kern w:val="0"/>
                <w:sz w:val="32"/>
                <w:szCs w:val="32"/>
              </w:rPr>
              <w:t>计</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 xml:space="preserve">　15</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 xml:space="preserve">　1．89</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因公出国（境）费</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10</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公务接待费</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5</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1．89</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公务用车购置及运行费</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lastRenderedPageBreak/>
              <w:t> </w:t>
            </w:r>
            <w:r w:rsidRPr="0018347A">
              <w:rPr>
                <w:rFonts w:ascii="仿宋" w:eastAsia="仿宋" w:hAnsi="仿宋" w:cs="仿宋" w:hint="eastAsia"/>
                <w:color w:val="333333"/>
                <w:kern w:val="0"/>
                <w:sz w:val="32"/>
                <w:szCs w:val="32"/>
              </w:rPr>
              <w:t xml:space="preserve"> </w:t>
            </w:r>
            <w:r w:rsidRPr="0018347A">
              <w:rPr>
                <w:rFonts w:ascii="仿宋" w:eastAsia="仿宋" w:hAnsi="仿宋" w:cs="宋体" w:hint="eastAsia"/>
                <w:color w:val="333333"/>
                <w:kern w:val="0"/>
                <w:sz w:val="32"/>
                <w:szCs w:val="32"/>
              </w:rPr>
              <w:t>其中：公务用车运行维护费</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r>
      <w:tr w:rsidR="0018347A" w:rsidRPr="0018347A" w:rsidTr="0018347A">
        <w:tc>
          <w:tcPr>
            <w:tcW w:w="4379" w:type="dxa"/>
            <w:tcBorders>
              <w:top w:val="nil"/>
              <w:left w:val="single" w:sz="8" w:space="0" w:color="auto"/>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t>      </w:t>
            </w:r>
            <w:r w:rsidRPr="0018347A">
              <w:rPr>
                <w:rFonts w:ascii="仿宋" w:eastAsia="仿宋" w:hAnsi="仿宋" w:cs="仿宋" w:hint="eastAsia"/>
                <w:color w:val="333333"/>
                <w:kern w:val="0"/>
                <w:sz w:val="32"/>
                <w:szCs w:val="32"/>
              </w:rPr>
              <w:t xml:space="preserve"> </w:t>
            </w:r>
            <w:r w:rsidRPr="0018347A">
              <w:rPr>
                <w:rFonts w:ascii="仿宋" w:eastAsia="仿宋" w:hAnsi="仿宋" w:cs="宋体" w:hint="eastAsia"/>
                <w:color w:val="333333"/>
                <w:kern w:val="0"/>
                <w:sz w:val="32"/>
                <w:szCs w:val="32"/>
              </w:rPr>
              <w:t xml:space="preserve">公务用车购置 </w:t>
            </w:r>
          </w:p>
        </w:tc>
        <w:tc>
          <w:tcPr>
            <w:tcW w:w="1676"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c>
          <w:tcPr>
            <w:tcW w:w="1565" w:type="dxa"/>
            <w:tcBorders>
              <w:top w:val="nil"/>
              <w:left w:val="nil"/>
              <w:bottom w:val="single" w:sz="8" w:space="0" w:color="auto"/>
              <w:right w:val="single" w:sz="8" w:space="0" w:color="auto"/>
            </w:tcBorders>
            <w:hideMark/>
          </w:tcPr>
          <w:p w:rsidR="0018347A" w:rsidRPr="0018347A" w:rsidRDefault="0018347A" w:rsidP="0018347A">
            <w:pPr>
              <w:widowControl/>
              <w:spacing w:line="560" w:lineRule="atLeast"/>
              <w:jc w:val="left"/>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 xml:space="preserve">　0</w:t>
            </w:r>
          </w:p>
        </w:tc>
      </w:tr>
    </w:tbl>
    <w:p w:rsidR="0018347A" w:rsidRPr="0018347A" w:rsidRDefault="0018347A" w:rsidP="0018347A">
      <w:pPr>
        <w:widowControl/>
        <w:spacing w:line="560" w:lineRule="atLeast"/>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t> </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黑体" w:eastAsia="黑体" w:hAnsi="黑体" w:cs="宋体" w:hint="eastAsia"/>
          <w:color w:val="333333"/>
          <w:kern w:val="0"/>
          <w:sz w:val="32"/>
          <w:szCs w:val="32"/>
        </w:rPr>
        <w:t>二、2017年一般公共预算财政拨款</w:t>
      </w:r>
      <w:r w:rsidRPr="0018347A">
        <w:rPr>
          <w:rFonts w:ascii="Times New Roman" w:eastAsia="微软雅黑" w:hAnsi="Times New Roman" w:cs="Times New Roman"/>
          <w:color w:val="333333"/>
          <w:kern w:val="0"/>
          <w:sz w:val="32"/>
          <w:szCs w:val="32"/>
        </w:rPr>
        <w:t>“</w:t>
      </w:r>
      <w:r w:rsidRPr="0018347A">
        <w:rPr>
          <w:rFonts w:ascii="黑体" w:eastAsia="黑体" w:hAnsi="黑体"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黑体" w:eastAsia="黑体" w:hAnsi="黑体" w:cs="宋体" w:hint="eastAsia"/>
          <w:color w:val="333333"/>
          <w:kern w:val="0"/>
          <w:sz w:val="32"/>
          <w:szCs w:val="32"/>
        </w:rPr>
        <w:t>经费支出情况说明</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b/>
          <w:bCs/>
          <w:color w:val="333333"/>
          <w:kern w:val="0"/>
          <w:sz w:val="32"/>
          <w:szCs w:val="32"/>
        </w:rPr>
        <w:t>（一）一般公共预算财政拨款</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三公</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经费支出决算总体情况说明。</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宿州市委党校2017年度一般公共预算财政拨款</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经费支出预算为15万元，支出决算为1.89万元，完成预算的12.59%，决算数小于预算数的主要原因是执行中央八项规定，厉行节约，压缩一般公用支出。为全面反映</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经费支出，本次公布的</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经费决算为部门汇总数，包含部门本级和所属单位。</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（二）</w:t>
      </w:r>
      <w:r w:rsidRPr="0018347A">
        <w:rPr>
          <w:rFonts w:ascii="仿宋" w:eastAsia="仿宋" w:hAnsi="仿宋" w:cs="宋体" w:hint="eastAsia"/>
          <w:b/>
          <w:bCs/>
          <w:color w:val="333333"/>
          <w:kern w:val="0"/>
          <w:sz w:val="32"/>
          <w:szCs w:val="32"/>
        </w:rPr>
        <w:t>一般公共预算财政拨款</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三公</w:t>
      </w:r>
      <w:r w:rsidRPr="0018347A">
        <w:rPr>
          <w:rFonts w:ascii="Times New Roman" w:eastAsia="微软雅黑" w:hAnsi="Times New Roman" w:cs="Times New Roman"/>
          <w:b/>
          <w:bCs/>
          <w:color w:val="333333"/>
          <w:kern w:val="0"/>
          <w:sz w:val="32"/>
          <w:szCs w:val="32"/>
        </w:rPr>
        <w:t>”</w:t>
      </w:r>
      <w:r w:rsidRPr="0018347A">
        <w:rPr>
          <w:rFonts w:ascii="仿宋" w:eastAsia="仿宋" w:hAnsi="仿宋" w:cs="宋体" w:hint="eastAsia"/>
          <w:b/>
          <w:bCs/>
          <w:color w:val="333333"/>
          <w:kern w:val="0"/>
          <w:sz w:val="32"/>
          <w:szCs w:val="32"/>
        </w:rPr>
        <w:t>经费支出决算具体情况说明。</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宿州市委党校2017年度一般公共预算财政拨款</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三公</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经费支出决算中，因公出国（境）费支出决算0万元，占0%;公务接待费支出决算1.89万元，占100%，公务用车购置及运行费支出决算0万元，占0%。具体情况如下：</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lastRenderedPageBreak/>
        <w:t>1.因公出国（境）费支出0万元，与2016年度决算相比无变化，连续两年均未发生此项业务。</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2.公务接待费支出1.89万元, 与2016年度决算相比，减少0.22万元，下降10.32%，下降的原因来宿考察调研单位减少。2017年宿州市委党校国内公务接待共13批次（其中外事接待0批次），160人次（其中外事接待0人次）。主要是用于接待省委党校、省内外党校业务指导和工作调研交流等公务往来支出。经费使用贯彻党中央</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八项规定</w:t>
      </w:r>
      <w:r w:rsidRPr="0018347A">
        <w:rPr>
          <w:rFonts w:ascii="Times New Roman" w:eastAsia="微软雅黑" w:hAnsi="Times New Roman" w:cs="Times New Roman"/>
          <w:color w:val="333333"/>
          <w:kern w:val="0"/>
          <w:sz w:val="32"/>
          <w:szCs w:val="32"/>
        </w:rPr>
        <w:t>”</w:t>
      </w:r>
      <w:r w:rsidRPr="0018347A">
        <w:rPr>
          <w:rFonts w:ascii="仿宋" w:eastAsia="仿宋" w:hAnsi="仿宋" w:cs="宋体" w:hint="eastAsia"/>
          <w:color w:val="333333"/>
          <w:kern w:val="0"/>
          <w:sz w:val="32"/>
          <w:szCs w:val="32"/>
        </w:rPr>
        <w:t>和省委省政府30条等要求，严格执行《党政机关厉行节约反对浪费条例》、《宿州市市直机关公务接待管理暂行办法》（宿财行〔2015〕4号）相关规定。</w:t>
      </w:r>
    </w:p>
    <w:p w:rsidR="0018347A" w:rsidRPr="0018347A" w:rsidRDefault="0018347A" w:rsidP="0018347A">
      <w:pPr>
        <w:widowControl/>
        <w:spacing w:line="560" w:lineRule="atLeast"/>
        <w:ind w:firstLine="628"/>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3.公务用车购置及运行费支出0万元，与2016年度决算相比，无变化。2017年没有安排公务用车购置费及公务用车运行维护费。2017年底，宿州市委党校机关及所属单位开支财政拨款的公务用车保有量为1辆。</w:t>
      </w:r>
    </w:p>
    <w:p w:rsidR="0018347A" w:rsidRPr="0018347A" w:rsidRDefault="0018347A" w:rsidP="0018347A">
      <w:pPr>
        <w:widowControl/>
        <w:spacing w:line="560" w:lineRule="atLeast"/>
        <w:ind w:firstLine="640"/>
        <w:rPr>
          <w:rFonts w:ascii="Calibri" w:eastAsia="微软雅黑" w:hAnsi="Calibri" w:cs="宋体"/>
          <w:color w:val="333333"/>
          <w:kern w:val="0"/>
          <w:szCs w:val="21"/>
        </w:rPr>
      </w:pPr>
      <w:r w:rsidRPr="0018347A">
        <w:rPr>
          <w:rFonts w:ascii="仿宋" w:eastAsia="仿宋" w:hAnsi="仿宋" w:cs="宋体" w:hint="eastAsia"/>
          <w:color w:val="333333"/>
          <w:kern w:val="0"/>
          <w:sz w:val="32"/>
          <w:szCs w:val="32"/>
        </w:rPr>
        <w:t>联系方式：宿州市委党校政务公开电子邮箱：</w:t>
      </w:r>
      <w:r w:rsidRPr="0018347A">
        <w:rPr>
          <w:rFonts w:ascii="仿宋" w:eastAsia="仿宋" w:hAnsi="仿宋" w:cs="宋体" w:hint="eastAsia"/>
          <w:color w:val="333333"/>
          <w:kern w:val="0"/>
          <w:szCs w:val="21"/>
        </w:rPr>
        <w:t xml:space="preserve"> </w:t>
      </w:r>
      <w:r w:rsidRPr="0018347A">
        <w:rPr>
          <w:rFonts w:ascii="仿宋" w:eastAsia="仿宋" w:hAnsi="仿宋" w:cs="宋体" w:hint="eastAsia"/>
          <w:color w:val="333333"/>
          <w:kern w:val="0"/>
          <w:sz w:val="32"/>
          <w:szCs w:val="32"/>
        </w:rPr>
        <w:t>szdxxxzx@163.com。</w:t>
      </w:r>
    </w:p>
    <w:p w:rsidR="0018347A" w:rsidRPr="0018347A" w:rsidRDefault="0018347A" w:rsidP="0018347A">
      <w:pPr>
        <w:widowControl/>
        <w:spacing w:line="600" w:lineRule="atLeast"/>
        <w:jc w:val="center"/>
        <w:rPr>
          <w:rFonts w:ascii="Calibri" w:eastAsia="微软雅黑" w:hAnsi="Calibri" w:cs="宋体"/>
          <w:color w:val="333333"/>
          <w:kern w:val="0"/>
          <w:szCs w:val="21"/>
        </w:rPr>
      </w:pPr>
      <w:r w:rsidRPr="0018347A">
        <w:rPr>
          <w:rFonts w:ascii="宋体" w:eastAsia="宋体" w:hAnsi="宋体" w:cs="宋体" w:hint="eastAsia"/>
          <w:color w:val="333333"/>
          <w:kern w:val="0"/>
          <w:sz w:val="32"/>
          <w:szCs w:val="32"/>
        </w:rPr>
        <w:t> </w:t>
      </w:r>
    </w:p>
    <w:p w:rsidR="00987F94" w:rsidRPr="0018347A" w:rsidRDefault="00987F94"/>
    <w:sectPr w:rsidR="00987F94" w:rsidRPr="0018347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7F94" w:rsidRDefault="00987F94" w:rsidP="0018347A">
      <w:r>
        <w:separator/>
      </w:r>
    </w:p>
  </w:endnote>
  <w:endnote w:type="continuationSeparator" w:id="1">
    <w:p w:rsidR="00987F94" w:rsidRDefault="00987F94" w:rsidP="001834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7F94" w:rsidRDefault="00987F94" w:rsidP="0018347A">
      <w:r>
        <w:separator/>
      </w:r>
    </w:p>
  </w:footnote>
  <w:footnote w:type="continuationSeparator" w:id="1">
    <w:p w:rsidR="00987F94" w:rsidRDefault="00987F94" w:rsidP="001834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347A"/>
    <w:rsid w:val="0018347A"/>
    <w:rsid w:val="00987F9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834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8347A"/>
    <w:rPr>
      <w:sz w:val="18"/>
      <w:szCs w:val="18"/>
    </w:rPr>
  </w:style>
  <w:style w:type="paragraph" w:styleId="a4">
    <w:name w:val="footer"/>
    <w:basedOn w:val="a"/>
    <w:link w:val="Char0"/>
    <w:uiPriority w:val="99"/>
    <w:semiHidden/>
    <w:unhideWhenUsed/>
    <w:rsid w:val="0018347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8347A"/>
    <w:rPr>
      <w:sz w:val="18"/>
      <w:szCs w:val="18"/>
    </w:rPr>
  </w:style>
  <w:style w:type="paragraph" w:styleId="a5">
    <w:name w:val="Normal (Web)"/>
    <w:basedOn w:val="a"/>
    <w:uiPriority w:val="99"/>
    <w:unhideWhenUsed/>
    <w:rsid w:val="0018347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273393494">
      <w:bodyDiv w:val="1"/>
      <w:marLeft w:val="0"/>
      <w:marRight w:val="0"/>
      <w:marTop w:val="0"/>
      <w:marBottom w:val="0"/>
      <w:divBdr>
        <w:top w:val="none" w:sz="0" w:space="0" w:color="auto"/>
        <w:left w:val="none" w:sz="0" w:space="0" w:color="auto"/>
        <w:bottom w:val="none" w:sz="0" w:space="0" w:color="auto"/>
        <w:right w:val="none" w:sz="0" w:space="0" w:color="auto"/>
      </w:divBdr>
      <w:divsChild>
        <w:div w:id="1250695095">
          <w:marLeft w:val="0"/>
          <w:marRight w:val="0"/>
          <w:marTop w:val="0"/>
          <w:marBottom w:val="0"/>
          <w:divBdr>
            <w:top w:val="none" w:sz="0" w:space="0" w:color="auto"/>
            <w:left w:val="none" w:sz="0" w:space="0" w:color="auto"/>
            <w:bottom w:val="none" w:sz="0" w:space="0" w:color="auto"/>
            <w:right w:val="none" w:sz="0" w:space="0" w:color="auto"/>
          </w:divBdr>
          <w:divsChild>
            <w:div w:id="958492528">
              <w:marLeft w:val="0"/>
              <w:marRight w:val="0"/>
              <w:marTop w:val="0"/>
              <w:marBottom w:val="0"/>
              <w:divBdr>
                <w:top w:val="none" w:sz="0" w:space="0" w:color="auto"/>
                <w:left w:val="none" w:sz="0" w:space="0" w:color="auto"/>
                <w:bottom w:val="none" w:sz="0" w:space="0" w:color="auto"/>
                <w:right w:val="none" w:sz="0" w:space="0" w:color="auto"/>
              </w:divBdr>
              <w:divsChild>
                <w:div w:id="352532045">
                  <w:marLeft w:val="0"/>
                  <w:marRight w:val="0"/>
                  <w:marTop w:val="0"/>
                  <w:marBottom w:val="0"/>
                  <w:divBdr>
                    <w:top w:val="single" w:sz="2" w:space="18" w:color="DCDCDC"/>
                    <w:left w:val="single" w:sz="2" w:space="10" w:color="DCDCDC"/>
                    <w:bottom w:val="single" w:sz="2" w:space="7" w:color="DCDCDC"/>
                    <w:right w:val="single" w:sz="2" w:space="10" w:color="DCDCDC"/>
                  </w:divBdr>
                  <w:divsChild>
                    <w:div w:id="131059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870</Words>
  <Characters>4963</Characters>
  <Application>Microsoft Office Word</Application>
  <DocSecurity>0</DocSecurity>
  <Lines>41</Lines>
  <Paragraphs>11</Paragraphs>
  <ScaleCrop>false</ScaleCrop>
  <Company/>
  <LinksUpToDate>false</LinksUpToDate>
  <CharactersWithSpaces>5822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szdx</dc:creator>
  <cp:keywords/>
  <dc:description/>
  <cp:lastModifiedBy>szdx</cp:lastModifiedBy>
  <cp:revision>3</cp:revision>
  <dcterms:created xsi:type="dcterms:W3CDTF">2019-09-29T01:18:00Z</dcterms:created>
  <dcterms:modified xsi:type="dcterms:W3CDTF">2019-09-29T01:19:00Z</dcterms:modified>
</cp:coreProperties>
</file>